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E394F" w14:textId="42763F22" w:rsidR="00A1105B" w:rsidRDefault="00823E40" w:rsidP="00052FD7">
      <w:pPr>
        <w:pStyle w:val="Body"/>
        <w:spacing w:after="0" w:line="240" w:lineRule="auto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C7EF85B" wp14:editId="5E0A9C8A">
                <wp:simplePos x="0" y="0"/>
                <wp:positionH relativeFrom="column">
                  <wp:posOffset>1460309</wp:posOffset>
                </wp:positionH>
                <wp:positionV relativeFrom="line">
                  <wp:posOffset>-122830</wp:posOffset>
                </wp:positionV>
                <wp:extent cx="4744721" cy="914400"/>
                <wp:effectExtent l="0" t="0" r="0" b="0"/>
                <wp:wrapNone/>
                <wp:docPr id="1073741825" name="officeArt object" descr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4721" cy="9144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4DFA75EA" w14:textId="77777777" w:rsidR="00A1105B" w:rsidRDefault="00823E40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ISSN:  2527-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7332  e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-ISSN:  2614-0020</w:t>
                            </w:r>
                          </w:p>
                          <w:p w14:paraId="1C8A75AA" w14:textId="77777777" w:rsidR="00A1105B" w:rsidRDefault="00823E40">
                            <w:pPr>
                              <w:pStyle w:val="NormalWeb"/>
                              <w:spacing w:before="0" w:after="0"/>
                              <w:jc w:val="center"/>
                              <w:rPr>
                                <w:rFonts w:ascii="Arial Narrow" w:eastAsia="Arial Narrow" w:hAnsi="Arial Narrow" w:cs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Secretariat: Department of Pharmacology and Clinical Pharmacy,</w:t>
                            </w:r>
                          </w:p>
                          <w:p w14:paraId="06D0C491" w14:textId="77777777" w:rsidR="00A1105B" w:rsidRDefault="00823E40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 xml:space="preserve">Faculty of Pharmacy,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Universitas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Padjadjaran</w:t>
                            </w:r>
                            <w:proofErr w:type="spellEnd"/>
                          </w:p>
                          <w:p w14:paraId="12119EEF" w14:textId="77777777" w:rsidR="00A1105B" w:rsidRDefault="00823E40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 xml:space="preserve">Jl.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Raya  Bandung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Sumedang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 xml:space="preserve">  Km. 21,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Jatinangor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 xml:space="preserve"> , West Java  45363. Phone: +6222-7796200</w:t>
                            </w:r>
                          </w:p>
                          <w:p w14:paraId="490AE967" w14:textId="77777777" w:rsidR="00A1105B" w:rsidRDefault="00823E40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Website: http://jurnal.unpad.ac.id/pcpr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7EF85B" id="_x0000_t202" coordsize="21600,21600" o:spt="202" path="m0,0l0,21600,21600,21600,21600,0xe">
                <v:stroke joinstyle="miter"/>
                <v:path gradientshapeok="t" o:connecttype="rect"/>
              </v:shapetype>
              <v:shape id="officeArt object" o:spid="_x0000_s1026" type="#_x0000_t202" alt="TextBox 22" style="position:absolute;left:0;text-align:left;margin-left:115pt;margin-top:-9.6pt;width:373.6pt;height:1in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" mv:complextextbox="1" filled="f" stroked="f" strokeweight="1pt">
                <v:stroke miterlimit="4"/>
                <v:textbox inset="45719emu,45719emu,45719emu,45719emu">
                  <w:txbxContent>
                    <w:p w14:paraId="4DFA75EA" w14:textId="77777777" w:rsidR="00A1105B" w:rsidRDefault="00823E40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ISSN:  2527-</w:t>
                      </w:r>
                      <w:proofErr w:type="gramStart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7332  e</w:t>
                      </w:r>
                      <w:proofErr w:type="gramEnd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-ISSN:  2614-0020</w:t>
                      </w:r>
                    </w:p>
                    <w:p w14:paraId="1C8A75AA" w14:textId="77777777" w:rsidR="00A1105B" w:rsidRDefault="00823E40">
                      <w:pPr>
                        <w:pStyle w:val="NormalWeb"/>
                        <w:spacing w:before="0" w:after="0"/>
                        <w:jc w:val="center"/>
                        <w:rPr>
                          <w:rFonts w:ascii="Arial Narrow" w:eastAsia="Arial Narrow" w:hAnsi="Arial Narrow" w:cs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</w:pPr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Secretariat: Department of Pharmacology and Clinical Pharmacy,</w:t>
                      </w:r>
                    </w:p>
                    <w:p w14:paraId="06D0C491" w14:textId="77777777" w:rsidR="00A1105B" w:rsidRDefault="00823E40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 xml:space="preserve">Faculty of Pharmacy, </w:t>
                      </w:r>
                      <w:proofErr w:type="spellStart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Universitas</w:t>
                      </w:r>
                      <w:proofErr w:type="spellEnd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Padjadjaran</w:t>
                      </w:r>
                      <w:proofErr w:type="spellEnd"/>
                    </w:p>
                    <w:p w14:paraId="12119EEF" w14:textId="77777777" w:rsidR="00A1105B" w:rsidRDefault="00823E40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 xml:space="preserve">Jl. </w:t>
                      </w:r>
                      <w:proofErr w:type="gramStart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Raya  Bandung</w:t>
                      </w:r>
                      <w:proofErr w:type="gramEnd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-</w:t>
                      </w:r>
                      <w:proofErr w:type="spellStart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Sumedang</w:t>
                      </w:r>
                      <w:proofErr w:type="spellEnd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 xml:space="preserve">  Km. 21, </w:t>
                      </w:r>
                      <w:proofErr w:type="spellStart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Jatinangor</w:t>
                      </w:r>
                      <w:proofErr w:type="spellEnd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 xml:space="preserve"> , West Java  45363. Phone: +6222-7796200</w:t>
                      </w:r>
                    </w:p>
                    <w:p w14:paraId="490AE967" w14:textId="77777777" w:rsidR="00A1105B" w:rsidRDefault="00823E40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Website: http://jurnal.unpad.ac.id/pcpr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Cambria" w:eastAsia="Cambria" w:hAnsi="Cambria" w:cs="Cambria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824401C" wp14:editId="1D8591D8">
                <wp:simplePos x="0" y="0"/>
                <wp:positionH relativeFrom="column">
                  <wp:posOffset>1432560</wp:posOffset>
                </wp:positionH>
                <wp:positionV relativeFrom="line">
                  <wp:posOffset>-453703</wp:posOffset>
                </wp:positionV>
                <wp:extent cx="4607560" cy="482600"/>
                <wp:effectExtent l="0" t="0" r="0" b="0"/>
                <wp:wrapNone/>
                <wp:docPr id="1073741826" name="officeArt object" descr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7560" cy="482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8765A4" w14:textId="77777777" w:rsidR="00A1105B" w:rsidRDefault="00823E40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Adobe Fan Heiti Std B" w:eastAsia="Adobe Fan Heiti Std B" w:hAnsi="Adobe Fan Heiti Std B" w:cs="Adobe Fan Heiti Std B"/>
                                <w:b/>
                                <w:bCs/>
                                <w:color w:val="183880"/>
                                <w:kern w:val="24"/>
                                <w:sz w:val="32"/>
                                <w:szCs w:val="32"/>
                                <w:u w:color="183880"/>
                              </w:rPr>
                              <w:t>Pharmacology and Clinical Pharmacy Research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4401C" id="_x0000_s1027" type="#_x0000_t202" alt="TextBox 28" style="position:absolute;left:0;text-align:left;margin-left:112.8pt;margin-top:-35.65pt;width:362.8pt;height:38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" filled="f" stroked="f" strokeweight="1pt">
                <v:stroke miterlimit="4"/>
                <v:textbox inset="45719emu,45719emu,45719emu,45719emu">
                  <w:txbxContent>
                    <w:p w14:paraId="638765A4" w14:textId="77777777" w:rsidR="00A1105B" w:rsidRDefault="00823E40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Adobe Fan Heiti Std B" w:eastAsia="Adobe Fan Heiti Std B" w:hAnsi="Adobe Fan Heiti Std B" w:cs="Adobe Fan Heiti Std B"/>
                          <w:b/>
                          <w:bCs/>
                          <w:color w:val="183880"/>
                          <w:kern w:val="24"/>
                          <w:sz w:val="32"/>
                          <w:szCs w:val="32"/>
                          <w:u w:color="183880"/>
                        </w:rPr>
                        <w:t>Pharmacology and Clinical Pharmacy Research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Cambria" w:eastAsia="Cambria" w:hAnsi="Cambria" w:cs="Cambria"/>
          <w:noProof/>
          <w:sz w:val="28"/>
          <w:szCs w:val="28"/>
        </w:rPr>
        <w:drawing>
          <wp:anchor distT="0" distB="0" distL="0" distR="0" simplePos="0" relativeHeight="251657216" behindDoc="1" locked="0" layoutInCell="1" allowOverlap="1" wp14:anchorId="30F632AB" wp14:editId="70028850">
            <wp:simplePos x="0" y="0"/>
            <wp:positionH relativeFrom="column">
              <wp:posOffset>149860</wp:posOffset>
            </wp:positionH>
            <wp:positionV relativeFrom="line">
              <wp:posOffset>-607059</wp:posOffset>
            </wp:positionV>
            <wp:extent cx="1214120" cy="1390650"/>
            <wp:effectExtent l="0" t="0" r="0" b="0"/>
            <wp:wrapNone/>
            <wp:docPr id="1073741827" name="officeArt object" descr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icture 13" descr="Picture 13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120" cy="1390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4F95A86" w14:textId="77777777" w:rsidR="00A1105B" w:rsidRDefault="00823E40" w:rsidP="00052FD7">
      <w:pPr>
        <w:pStyle w:val="Body"/>
        <w:spacing w:after="0" w:line="240" w:lineRule="auto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C344CC4" wp14:editId="6D71BDA9">
                <wp:simplePos x="0" y="0"/>
                <wp:positionH relativeFrom="column">
                  <wp:posOffset>-90487</wp:posOffset>
                </wp:positionH>
                <wp:positionV relativeFrom="line">
                  <wp:posOffset>491172</wp:posOffset>
                </wp:positionV>
                <wp:extent cx="6324600" cy="0"/>
                <wp:effectExtent l="0" t="0" r="0" b="0"/>
                <wp:wrapNone/>
                <wp:docPr id="1073741828" name="officeArt object" descr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4A7EBB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-7.1pt;margin-top:38.7pt;width:498.0pt;height:0.0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4A7EBB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2D12A3D1" w14:textId="77777777" w:rsidR="00A1105B" w:rsidRDefault="00A1105B" w:rsidP="00052FD7">
      <w:pPr>
        <w:pStyle w:val="Body"/>
        <w:spacing w:after="0" w:line="240" w:lineRule="auto"/>
        <w:jc w:val="both"/>
        <w:rPr>
          <w:rFonts w:ascii="Cambria" w:eastAsia="Cambria" w:hAnsi="Cambria" w:cs="Cambria"/>
          <w:sz w:val="28"/>
          <w:szCs w:val="28"/>
        </w:rPr>
      </w:pPr>
    </w:p>
    <w:p w14:paraId="4ADF40D6" w14:textId="15C8CA38" w:rsidR="00993E38" w:rsidRPr="00993E38" w:rsidRDefault="00823E40" w:rsidP="00993E38">
      <w:pPr>
        <w:pStyle w:val="Body"/>
        <w:spacing w:after="0" w:line="240" w:lineRule="auto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F860105" wp14:editId="12E1E3C7">
                <wp:simplePos x="0" y="0"/>
                <wp:positionH relativeFrom="column">
                  <wp:posOffset>-59694</wp:posOffset>
                </wp:positionH>
                <wp:positionV relativeFrom="line">
                  <wp:posOffset>131127</wp:posOffset>
                </wp:positionV>
                <wp:extent cx="6324600" cy="0"/>
                <wp:effectExtent l="0" t="0" r="0" b="0"/>
                <wp:wrapNone/>
                <wp:docPr id="1073741829" name="officeArt object" descr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4A7EBB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-4.7pt;margin-top:10.3pt;width:498.0pt;height:0.0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4A7EBB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71C72A3B" w14:textId="77777777" w:rsidR="00993E38" w:rsidRPr="00DB7581" w:rsidRDefault="00993E38" w:rsidP="00993E38">
      <w:pPr>
        <w:spacing w:before="100" w:beforeAutospacing="1" w:after="100" w:afterAutospacing="1"/>
        <w:contextualSpacing/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DB7581">
        <w:rPr>
          <w:rFonts w:ascii="Tahoma" w:hAnsi="Tahoma" w:cs="Tahoma"/>
          <w:b/>
          <w:sz w:val="28"/>
          <w:szCs w:val="28"/>
          <w:u w:val="single"/>
        </w:rPr>
        <w:t>Copyright Transfer Agreement</w:t>
      </w:r>
    </w:p>
    <w:p w14:paraId="00AC0722" w14:textId="77777777" w:rsidR="00993E38" w:rsidRPr="00DB7581" w:rsidRDefault="00993E38" w:rsidP="00993E38">
      <w:pPr>
        <w:spacing w:before="100" w:beforeAutospacing="1" w:after="100" w:afterAutospacing="1"/>
        <w:contextualSpacing/>
        <w:jc w:val="center"/>
        <w:rPr>
          <w:rFonts w:ascii="Tahoma" w:hAnsi="Tahoma" w:cs="Tahoma"/>
        </w:rPr>
      </w:pPr>
    </w:p>
    <w:p w14:paraId="629A53D4" w14:textId="77777777" w:rsidR="00993E38" w:rsidRDefault="00993E38" w:rsidP="00993E38">
      <w:pPr>
        <w:spacing w:before="100" w:beforeAutospacing="1" w:after="100" w:afterAutospacing="1"/>
        <w:contextualSpacing/>
        <w:rPr>
          <w:rFonts w:ascii="Tahoma" w:hAnsi="Tahoma" w:cs="Tahoma"/>
        </w:rPr>
      </w:pPr>
    </w:p>
    <w:p w14:paraId="6BFC8623" w14:textId="77777777" w:rsidR="00B852D5" w:rsidRPr="008C4550" w:rsidRDefault="00993E38" w:rsidP="00B852D5">
      <w:pPr>
        <w:spacing w:before="100" w:beforeAutospacing="1" w:after="100" w:afterAutospacing="1"/>
        <w:contextualSpacing/>
      </w:pPr>
      <w:r w:rsidRPr="008C4550">
        <w:t>The manuscript entitled:</w:t>
      </w:r>
    </w:p>
    <w:p w14:paraId="139C24A7" w14:textId="77777777" w:rsidR="00930BF1" w:rsidRDefault="00930BF1" w:rsidP="00B852D5">
      <w:pPr>
        <w:spacing w:before="100" w:beforeAutospacing="1" w:after="100" w:afterAutospacing="1"/>
        <w:contextualSpacing/>
        <w:rPr>
          <w:b/>
          <w:bCs/>
        </w:rPr>
      </w:pPr>
    </w:p>
    <w:p w14:paraId="6888C945" w14:textId="1952D5D5" w:rsidR="00B852D5" w:rsidRPr="008C4550" w:rsidRDefault="00930BF1" w:rsidP="00B852D5">
      <w:pPr>
        <w:spacing w:before="100" w:beforeAutospacing="1" w:after="100" w:afterAutospacing="1"/>
        <w:contextualSpacing/>
      </w:pPr>
      <w:r>
        <w:rPr>
          <w:b/>
          <w:bCs/>
        </w:rPr>
        <w:t>______________________________________________________________________________</w:t>
      </w:r>
    </w:p>
    <w:p w14:paraId="33AF5626" w14:textId="77777777" w:rsidR="00B852D5" w:rsidRPr="008C4550" w:rsidRDefault="00B852D5" w:rsidP="00993E38">
      <w:pPr>
        <w:spacing w:before="100" w:beforeAutospacing="1" w:after="100" w:afterAutospacing="1"/>
        <w:contextualSpacing/>
      </w:pPr>
    </w:p>
    <w:p w14:paraId="0423D8D0" w14:textId="77777777" w:rsidR="00B852D5" w:rsidRPr="008C4550" w:rsidRDefault="00993E38" w:rsidP="00B852D5">
      <w:pPr>
        <w:spacing w:before="100" w:beforeAutospacing="1" w:after="100" w:afterAutospacing="1"/>
        <w:contextualSpacing/>
      </w:pPr>
      <w:r w:rsidRPr="008C4550">
        <w:t>Name of the author(s</w:t>
      </w:r>
      <w:r w:rsidR="00B852D5" w:rsidRPr="008C4550">
        <w:t>)</w:t>
      </w:r>
    </w:p>
    <w:p w14:paraId="293E7C3A" w14:textId="77777777" w:rsidR="00930BF1" w:rsidRDefault="00930BF1" w:rsidP="00B852D5">
      <w:pPr>
        <w:spacing w:before="100" w:beforeAutospacing="1" w:after="100" w:afterAutospacing="1"/>
        <w:contextualSpacing/>
        <w:rPr>
          <w:b/>
        </w:rPr>
      </w:pPr>
    </w:p>
    <w:p w14:paraId="5D30769D" w14:textId="77777777" w:rsidR="00930BF1" w:rsidRPr="008C4550" w:rsidRDefault="00930BF1" w:rsidP="00930BF1">
      <w:pPr>
        <w:spacing w:before="100" w:beforeAutospacing="1" w:after="100" w:afterAutospacing="1"/>
        <w:contextualSpacing/>
      </w:pPr>
      <w:r>
        <w:rPr>
          <w:b/>
          <w:bCs/>
        </w:rPr>
        <w:t>______________________________________________________________________________</w:t>
      </w:r>
    </w:p>
    <w:p w14:paraId="1832BF3B" w14:textId="77777777" w:rsidR="002B764D" w:rsidRDefault="002B764D" w:rsidP="00993E38">
      <w:pPr>
        <w:spacing w:before="100" w:beforeAutospacing="1" w:after="100" w:afterAutospacing="1"/>
        <w:contextualSpacing/>
        <w:jc w:val="both"/>
      </w:pPr>
    </w:p>
    <w:p w14:paraId="2743520F" w14:textId="77777777" w:rsidR="00930BF1" w:rsidRPr="008C4550" w:rsidRDefault="00930BF1" w:rsidP="00993E38">
      <w:pPr>
        <w:spacing w:before="100" w:beforeAutospacing="1" w:after="100" w:afterAutospacing="1"/>
        <w:contextualSpacing/>
        <w:jc w:val="both"/>
      </w:pPr>
    </w:p>
    <w:p w14:paraId="23BAB424" w14:textId="77777777" w:rsidR="00993E38" w:rsidRPr="008C4550" w:rsidRDefault="00993E38" w:rsidP="00993E38">
      <w:pPr>
        <w:spacing w:before="100" w:beforeAutospacing="1" w:after="100" w:afterAutospacing="1"/>
        <w:contextualSpacing/>
      </w:pPr>
      <w:r w:rsidRPr="008C4550">
        <w:t>The authors declared that [Please give the sign (√)</w:t>
      </w:r>
      <w:proofErr w:type="gramStart"/>
      <w:r w:rsidRPr="008C4550">
        <w:t>] :</w:t>
      </w:r>
      <w:proofErr w:type="gramEnd"/>
    </w:p>
    <w:p w14:paraId="4C9D7CC7" w14:textId="77777777" w:rsidR="00993E38" w:rsidRPr="008C4550" w:rsidRDefault="00993E38" w:rsidP="00993E38">
      <w:pPr>
        <w:spacing w:before="100" w:beforeAutospacing="1" w:after="100" w:afterAutospacing="1"/>
        <w:contextualSpacing/>
      </w:pPr>
    </w:p>
    <w:p w14:paraId="50C8C4DE" w14:textId="32886219" w:rsidR="00993E38" w:rsidRPr="008C4550" w:rsidRDefault="00930BF1" w:rsidP="00993E38">
      <w:pPr>
        <w:spacing w:before="100" w:beforeAutospacing="1" w:after="100" w:afterAutospacing="1"/>
        <w:contextualSpacing/>
        <w:jc w:val="both"/>
      </w:pPr>
      <w:r w:rsidRPr="008C4550">
        <w:sym w:font="Wingdings" w:char="F06F"/>
      </w:r>
      <w:r>
        <w:t xml:space="preserve">  </w:t>
      </w:r>
      <w:r w:rsidR="00993E38" w:rsidRPr="008C4550">
        <w:t xml:space="preserve"> Authors are willing to transfer the copyright of the manuscript to Pharmacology </w:t>
      </w:r>
      <w:proofErr w:type="gramStart"/>
      <w:r w:rsidR="00993E38" w:rsidRPr="008C4550">
        <w:t>and  Clinical</w:t>
      </w:r>
      <w:proofErr w:type="gramEnd"/>
      <w:r w:rsidR="00993E38" w:rsidRPr="008C4550">
        <w:t xml:space="preserve"> Pharmacy Research (PCPR) journal if it is accepted for publication and therefore PCPR  has full rights to enhance, publish, and reproduce the manuscript.</w:t>
      </w:r>
    </w:p>
    <w:p w14:paraId="41356C0A" w14:textId="77777777" w:rsidR="00993E38" w:rsidRPr="008C4550" w:rsidRDefault="00993E38" w:rsidP="00993E38">
      <w:pPr>
        <w:spacing w:before="100" w:beforeAutospacing="1" w:after="100" w:afterAutospacing="1"/>
        <w:contextualSpacing/>
        <w:jc w:val="both"/>
      </w:pPr>
    </w:p>
    <w:p w14:paraId="397E8AFC" w14:textId="77777777" w:rsidR="00993E38" w:rsidRPr="008C4550" w:rsidRDefault="00993E38" w:rsidP="00993E38">
      <w:pPr>
        <w:spacing w:before="100" w:beforeAutospacing="1" w:after="100" w:afterAutospacing="1"/>
        <w:contextualSpacing/>
        <w:jc w:val="both"/>
      </w:pPr>
      <w:r w:rsidRPr="008C4550">
        <w:t>Regarding the citation, as follows:</w:t>
      </w:r>
    </w:p>
    <w:p w14:paraId="02575530" w14:textId="6935C521" w:rsidR="00993E38" w:rsidRPr="008C4550" w:rsidRDefault="00993E38" w:rsidP="00993E38">
      <w:pPr>
        <w:spacing w:before="100" w:beforeAutospacing="1" w:after="100" w:afterAutospacing="1"/>
        <w:contextualSpacing/>
        <w:jc w:val="both"/>
      </w:pPr>
      <w:r w:rsidRPr="008C4550">
        <w:br/>
      </w:r>
      <w:r w:rsidRPr="008C4550">
        <w:sym w:font="Wingdings" w:char="F06F"/>
      </w:r>
      <w:r w:rsidRPr="008C4550">
        <w:t xml:space="preserve"> Full citation of copyrighted data (tables, figures, paragraphs) are written/reproduced/redrawn/reused with the permission of the copyright holder. </w:t>
      </w:r>
    </w:p>
    <w:p w14:paraId="48601F7E" w14:textId="77777777" w:rsidR="00993E38" w:rsidRPr="008C4550" w:rsidRDefault="00993E38" w:rsidP="00993E38">
      <w:pPr>
        <w:spacing w:before="100" w:beforeAutospacing="1" w:after="100" w:afterAutospacing="1"/>
        <w:contextualSpacing/>
        <w:jc w:val="both"/>
      </w:pPr>
    </w:p>
    <w:p w14:paraId="227A3DD4" w14:textId="4ED86D29" w:rsidR="00993E38" w:rsidRPr="008C4550" w:rsidRDefault="00993E38" w:rsidP="00993E38">
      <w:pPr>
        <w:spacing w:before="100" w:beforeAutospacing="1" w:after="100" w:afterAutospacing="1"/>
        <w:contextualSpacing/>
        <w:jc w:val="both"/>
      </w:pPr>
      <w:r w:rsidRPr="008C4550">
        <w:sym w:font="Wingdings" w:char="F06F"/>
      </w:r>
      <w:r w:rsidRPr="008C4550">
        <w:t xml:space="preserve">    No full citation of copyrighted data </w:t>
      </w:r>
      <w:proofErr w:type="gramStart"/>
      <w:r w:rsidRPr="008C4550">
        <w:t>are</w:t>
      </w:r>
      <w:proofErr w:type="gramEnd"/>
      <w:r w:rsidRPr="008C4550">
        <w:t xml:space="preserve"> written in the manuscript.</w:t>
      </w:r>
    </w:p>
    <w:p w14:paraId="2AA4F7F2" w14:textId="77777777" w:rsidR="00993E38" w:rsidRPr="008C4550" w:rsidRDefault="00993E38" w:rsidP="00993E38">
      <w:pPr>
        <w:spacing w:before="100" w:beforeAutospacing="1" w:after="100" w:afterAutospacing="1"/>
        <w:contextualSpacing/>
        <w:jc w:val="both"/>
      </w:pPr>
    </w:p>
    <w:p w14:paraId="46A2B220" w14:textId="5EB581C1" w:rsidR="00993E38" w:rsidRPr="008C4550" w:rsidRDefault="00930BF1" w:rsidP="00993E38">
      <w:pPr>
        <w:spacing w:before="100" w:beforeAutospacing="1" w:after="100" w:afterAutospacing="1"/>
        <w:contextualSpacing/>
        <w:jc w:val="both"/>
      </w:pPr>
      <w:r w:rsidRPr="008C4550">
        <w:sym w:font="Wingdings" w:char="F06F"/>
      </w:r>
      <w:r w:rsidR="00993E38" w:rsidRPr="008C4550">
        <w:t xml:space="preserve">   Partial citation of secondary data </w:t>
      </w:r>
      <w:proofErr w:type="gramStart"/>
      <w:r w:rsidR="00993E38" w:rsidRPr="008C4550">
        <w:t>are</w:t>
      </w:r>
      <w:proofErr w:type="gramEnd"/>
      <w:r w:rsidR="00993E38" w:rsidRPr="008C4550">
        <w:t xml:space="preserve"> written with appropriate referencing, in accordance with the journal's guideline. </w:t>
      </w:r>
    </w:p>
    <w:p w14:paraId="70D13287" w14:textId="77777777" w:rsidR="00993E38" w:rsidRPr="008C4550" w:rsidRDefault="00993E38" w:rsidP="00993E38">
      <w:pPr>
        <w:spacing w:before="100" w:beforeAutospacing="1" w:after="100" w:afterAutospacing="1"/>
        <w:contextualSpacing/>
      </w:pPr>
    </w:p>
    <w:p w14:paraId="64D86EC1" w14:textId="77777777" w:rsidR="00930BF1" w:rsidRDefault="00930BF1" w:rsidP="00993E38">
      <w:pPr>
        <w:spacing w:before="100" w:beforeAutospacing="1" w:after="100" w:afterAutospacing="1"/>
        <w:contextualSpacing/>
      </w:pPr>
    </w:p>
    <w:p w14:paraId="5E1DD9EC" w14:textId="77777777" w:rsidR="00930BF1" w:rsidRDefault="00930BF1" w:rsidP="00993E38">
      <w:pPr>
        <w:spacing w:before="100" w:beforeAutospacing="1" w:after="100" w:afterAutospacing="1"/>
        <w:contextualSpacing/>
      </w:pPr>
    </w:p>
    <w:p w14:paraId="3ADBC3A0" w14:textId="5FE0A67E" w:rsidR="00993E38" w:rsidRPr="008C4550" w:rsidRDefault="00993E38" w:rsidP="00993E38">
      <w:pPr>
        <w:spacing w:before="100" w:beforeAutospacing="1" w:after="100" w:afterAutospacing="1"/>
        <w:contextualSpacing/>
      </w:pPr>
      <w:r w:rsidRPr="008C4550">
        <w:t xml:space="preserve">Thereby I make this statement to be used properly. </w:t>
      </w:r>
    </w:p>
    <w:p w14:paraId="514DBA16" w14:textId="77777777" w:rsidR="00414162" w:rsidRPr="008C4550" w:rsidRDefault="00414162" w:rsidP="00993E38">
      <w:pPr>
        <w:spacing w:before="100" w:beforeAutospacing="1" w:after="100" w:afterAutospacing="1"/>
        <w:contextualSpacing/>
      </w:pPr>
    </w:p>
    <w:p w14:paraId="4B40DAF2" w14:textId="77777777" w:rsidR="00930BF1" w:rsidRDefault="00930BF1" w:rsidP="00993E38">
      <w:pPr>
        <w:spacing w:before="100" w:beforeAutospacing="1" w:after="100" w:afterAutospacing="1"/>
        <w:contextualSpacing/>
      </w:pPr>
    </w:p>
    <w:p w14:paraId="121C5A3F" w14:textId="77777777" w:rsidR="00930BF1" w:rsidRDefault="00930BF1" w:rsidP="00993E38">
      <w:pPr>
        <w:spacing w:before="100" w:beforeAutospacing="1" w:after="100" w:afterAutospacing="1"/>
        <w:contextualSpacing/>
      </w:pPr>
    </w:p>
    <w:p w14:paraId="64BEDEAD" w14:textId="77777777" w:rsidR="00930BF1" w:rsidRDefault="00930BF1" w:rsidP="00993E38">
      <w:pPr>
        <w:spacing w:before="100" w:beforeAutospacing="1" w:after="100" w:afterAutospacing="1"/>
        <w:contextualSpacing/>
      </w:pPr>
      <w:bookmarkStart w:id="0" w:name="_GoBack"/>
      <w:bookmarkEnd w:id="0"/>
    </w:p>
    <w:p w14:paraId="403EA04E" w14:textId="77777777" w:rsidR="001E71D7" w:rsidRPr="001E71D7" w:rsidRDefault="001E71D7" w:rsidP="001E71D7">
      <w:pPr>
        <w:pStyle w:val="NormalWeb"/>
        <w:shd w:val="clear" w:color="auto" w:fill="FFFFFF"/>
        <w:spacing w:before="0" w:after="0"/>
        <w:jc w:val="both"/>
        <w:rPr>
          <w:rFonts w:cs="Times New Roman"/>
          <w:color w:val="000000" w:themeColor="text1"/>
        </w:rPr>
      </w:pPr>
      <w:r w:rsidRPr="001E71D7">
        <w:rPr>
          <w:rFonts w:cs="Times New Roman"/>
          <w:color w:val="000000" w:themeColor="text1"/>
        </w:rPr>
        <w:t>(signature)</w:t>
      </w:r>
    </w:p>
    <w:p w14:paraId="3D98A155" w14:textId="77777777" w:rsidR="001E71D7" w:rsidRPr="001E71D7" w:rsidRDefault="001E71D7" w:rsidP="001E71D7">
      <w:pPr>
        <w:pStyle w:val="NormalWeb"/>
        <w:shd w:val="clear" w:color="auto" w:fill="FFFFFF"/>
        <w:spacing w:before="0" w:after="0"/>
        <w:jc w:val="both"/>
        <w:rPr>
          <w:rFonts w:cs="Times New Roman"/>
          <w:color w:val="000000" w:themeColor="text1"/>
          <w:spacing w:val="14"/>
        </w:rPr>
      </w:pPr>
      <w:r w:rsidRPr="001E71D7">
        <w:rPr>
          <w:rFonts w:cs="Times New Roman"/>
          <w:color w:val="000000" w:themeColor="text1"/>
        </w:rPr>
        <w:t>Author</w:t>
      </w:r>
    </w:p>
    <w:p w14:paraId="43B00FDE" w14:textId="53028EE0" w:rsidR="00CF633C" w:rsidRPr="00CF633C" w:rsidRDefault="00CF633C" w:rsidP="00052FD7">
      <w:pPr>
        <w:spacing w:before="100" w:beforeAutospacing="1" w:after="100" w:afterAutospacing="1"/>
        <w:contextualSpacing/>
        <w:jc w:val="both"/>
        <w:rPr>
          <w:rFonts w:ascii="Tahoma" w:hAnsi="Tahoma" w:cs="Tahoma"/>
        </w:rPr>
      </w:pPr>
    </w:p>
    <w:sectPr w:rsidR="00CF633C" w:rsidRPr="00CF633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D25144" w14:textId="77777777" w:rsidR="0023205D" w:rsidRDefault="0023205D">
      <w:r>
        <w:separator/>
      </w:r>
    </w:p>
  </w:endnote>
  <w:endnote w:type="continuationSeparator" w:id="0">
    <w:p w14:paraId="753C0B95" w14:textId="77777777" w:rsidR="0023205D" w:rsidRDefault="00232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dobe Fan Heiti Std B">
    <w:altName w:val="Times New Roman"/>
    <w:charset w:val="00"/>
    <w:family w:val="roman"/>
    <w:pitch w:val="default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7EC2E" w14:textId="77777777" w:rsidR="00A1105B" w:rsidRDefault="00A1105B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D8F194" w14:textId="77777777" w:rsidR="0023205D" w:rsidRDefault="0023205D">
      <w:r>
        <w:separator/>
      </w:r>
    </w:p>
  </w:footnote>
  <w:footnote w:type="continuationSeparator" w:id="0">
    <w:p w14:paraId="66DF6A5C" w14:textId="77777777" w:rsidR="0023205D" w:rsidRDefault="0023205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E74FD" w14:textId="77777777" w:rsidR="00A1105B" w:rsidRDefault="00A1105B">
    <w:pPr>
      <w:pStyle w:val="HeaderFoo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AB1761"/>
    <w:multiLevelType w:val="hybridMultilevel"/>
    <w:tmpl w:val="14A68F4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05B"/>
    <w:rsid w:val="00052FD7"/>
    <w:rsid w:val="0006083B"/>
    <w:rsid w:val="000F17ED"/>
    <w:rsid w:val="000F7732"/>
    <w:rsid w:val="001A2E69"/>
    <w:rsid w:val="001E71D7"/>
    <w:rsid w:val="0023205D"/>
    <w:rsid w:val="002B764D"/>
    <w:rsid w:val="00306DF4"/>
    <w:rsid w:val="00334BA6"/>
    <w:rsid w:val="003B64D9"/>
    <w:rsid w:val="00414162"/>
    <w:rsid w:val="00623E99"/>
    <w:rsid w:val="00633067"/>
    <w:rsid w:val="006648B8"/>
    <w:rsid w:val="00700DCC"/>
    <w:rsid w:val="00787343"/>
    <w:rsid w:val="00823E40"/>
    <w:rsid w:val="008C42B4"/>
    <w:rsid w:val="008C4550"/>
    <w:rsid w:val="00930BF1"/>
    <w:rsid w:val="00993E38"/>
    <w:rsid w:val="00A1105B"/>
    <w:rsid w:val="00A313A1"/>
    <w:rsid w:val="00A95950"/>
    <w:rsid w:val="00AA302F"/>
    <w:rsid w:val="00B30204"/>
    <w:rsid w:val="00B852D5"/>
    <w:rsid w:val="00C14ADA"/>
    <w:rsid w:val="00C21C6E"/>
    <w:rsid w:val="00CF633C"/>
    <w:rsid w:val="00D23AAD"/>
    <w:rsid w:val="00D46516"/>
    <w:rsid w:val="00D54B02"/>
    <w:rsid w:val="00D65A74"/>
    <w:rsid w:val="00F77376"/>
    <w:rsid w:val="00FB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4A780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Title1">
    <w:name w:val="Title1"/>
    <w:basedOn w:val="Normal"/>
    <w:next w:val="Normal"/>
    <w:rsid w:val="00C14A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eastAsia="Times New Roman" w:hAnsi="Arial"/>
      <w:b/>
      <w:sz w:val="36"/>
      <w:szCs w:val="20"/>
      <w:bdr w:val="none" w:sz="0" w:space="0" w:color="auto"/>
      <w:lang w:eastAsia="de-DE"/>
    </w:rPr>
  </w:style>
  <w:style w:type="paragraph" w:styleId="ListParagraph">
    <w:name w:val="List Paragraph"/>
    <w:basedOn w:val="Normal"/>
    <w:uiPriority w:val="34"/>
    <w:qFormat/>
    <w:rsid w:val="00CF63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bdr w:val="none" w:sz="0" w:space="0" w:color="auto"/>
    </w:rPr>
  </w:style>
  <w:style w:type="paragraph" w:customStyle="1" w:styleId="PenulisArtikel">
    <w:name w:val="Penulis Artikel"/>
    <w:basedOn w:val="Normal"/>
    <w:uiPriority w:val="99"/>
    <w:rsid w:val="0041416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88" w:lineRule="auto"/>
      <w:jc w:val="both"/>
      <w:textAlignment w:val="center"/>
    </w:pPr>
    <w:rPr>
      <w:rFonts w:ascii="TimesNewRomanPSMT" w:eastAsiaTheme="minorHAnsi" w:hAnsi="TimesNewRomanPSMT" w:cs="TimesNewRomanPSMT"/>
      <w:color w:val="00000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cp:lastPrinted>2019-11-14T15:53:00Z</cp:lastPrinted>
  <dcterms:created xsi:type="dcterms:W3CDTF">2019-11-20T11:36:00Z</dcterms:created>
  <dcterms:modified xsi:type="dcterms:W3CDTF">2019-11-20T19:20:00Z</dcterms:modified>
</cp:coreProperties>
</file>